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06F3" w14:textId="77777777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03"/>
        <w:gridCol w:w="2176"/>
        <w:gridCol w:w="2306"/>
        <w:gridCol w:w="1987"/>
        <w:gridCol w:w="1871"/>
        <w:gridCol w:w="961"/>
      </w:tblGrid>
      <w:tr w:rsidR="00A123C9" w:rsidRPr="00E66144" w14:paraId="486DAF5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70" w:type="dxa"/>
            <w:gridSpan w:val="4"/>
          </w:tcPr>
          <w:p w14:paraId="7255AEB7" w14:textId="77777777" w:rsidR="00A123C9" w:rsidRDefault="00A9514B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Жилицина Татьяна Васильевна воспитатель </w:t>
            </w:r>
          </w:p>
          <w:p w14:paraId="6DBB6063" w14:textId="364004A7" w:rsidR="00A9514B" w:rsidRPr="00E66144" w:rsidRDefault="00A9514B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17 Василеостровского района</w:t>
            </w:r>
          </w:p>
        </w:tc>
      </w:tr>
      <w:tr w:rsidR="00A123C9" w:rsidRPr="00E66144" w14:paraId="6DE4C63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70" w:type="dxa"/>
            <w:gridSpan w:val="4"/>
          </w:tcPr>
          <w:p w14:paraId="73F3DFFC" w14:textId="6112A8DB" w:rsidR="00A123C9" w:rsidRPr="00E66144" w:rsidRDefault="008D3836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</w:tr>
      <w:tr w:rsidR="00A123C9" w:rsidRPr="00E66144" w14:paraId="5BF537A0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70" w:type="dxa"/>
            <w:gridSpan w:val="4"/>
          </w:tcPr>
          <w:p w14:paraId="7017CBE0" w14:textId="78F574E4" w:rsidR="00A123C9" w:rsidRPr="00E66144" w:rsidRDefault="008D3836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в конструктивной деятельности </w:t>
            </w:r>
          </w:p>
        </w:tc>
      </w:tr>
      <w:tr w:rsidR="00A123C9" w:rsidRPr="00E66144" w14:paraId="5F78E4E9" w14:textId="77777777" w:rsidTr="002E4F41">
        <w:trPr>
          <w:trHeight w:val="4872"/>
        </w:trPr>
        <w:tc>
          <w:tcPr>
            <w:tcW w:w="2734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70" w:type="dxa"/>
            <w:gridSpan w:val="4"/>
          </w:tcPr>
          <w:p w14:paraId="0AA2D749" w14:textId="5BFFBBDE" w:rsidR="008D3836" w:rsidRDefault="008D3836" w:rsidP="008D3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Именно в предшкольном возрасте начинается целенаправленная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по развитию всех компонентов связной речи, совершенствованию умений при помощи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речи выражать свои мысли, строить диалог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словам В.А.Сухомлинского,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 понимают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идею лишь тогда, когда она выражена в ярких образах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62AB5B22" w14:textId="00621710" w:rsidR="008D3836" w:rsidRDefault="008D3836" w:rsidP="008D38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Создать яркие образы поможет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древнее японское искусство оригами. Оно сочетает в себе все необходимые средства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развития образного мышления и воображения, что впоследствии окажет благотворное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влияние на развитие речи ребенка.</w:t>
            </w:r>
          </w:p>
          <w:p w14:paraId="3959E95B" w14:textId="6749BB5C" w:rsidR="008A4A89" w:rsidRDefault="003A7F4A" w:rsidP="001C797C">
            <w:pPr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A7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7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некоторые трудовые процессы; слова, обозначающие части предметов, объектов их свойств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и качества: </w:t>
            </w:r>
            <w:r w:rsidR="00A6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цветовые оттенки.  ФОП ДО)</w:t>
            </w:r>
            <w:r w:rsidR="00523440">
              <w:t xml:space="preserve"> </w:t>
            </w:r>
            <w:hyperlink r:id="rId7" w:history="1">
              <w:r w:rsidR="00A44D25" w:rsidRPr="00FB7EC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https://fopdo.ru/soderzhatelnyj-razdel-rechevoe-razvitie/</w:t>
              </w:r>
            </w:hyperlink>
          </w:p>
          <w:p w14:paraId="5DDAED56" w14:textId="77777777" w:rsidR="00A44D25" w:rsidRDefault="00A44D25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44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038C0B" w14:textId="77777777" w:rsidR="00A44D25" w:rsidRDefault="00A44D25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44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онструктивная деятельность: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4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обучать конструированию из бумаги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AE71E0F" w14:textId="7670D8B0" w:rsidR="00A44D25" w:rsidRPr="004B5565" w:rsidRDefault="00A44D25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https://fopdo.ru/soderzhatelnyj-razdel-hudozhestvenno-esteticheskoe-razvitie/#215_4__5</w:t>
            </w:r>
          </w:p>
        </w:tc>
      </w:tr>
      <w:tr w:rsidR="00A123C9" w:rsidRPr="00E66144" w14:paraId="3F3BC477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64763772" w14:textId="77777777" w:rsidR="00BE44F9" w:rsidRPr="00BE44F9" w:rsidRDefault="00BE44F9" w:rsidP="00BE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F9"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искусством оригами, получение представлений о значении оригами, о его истории.</w:t>
            </w:r>
          </w:p>
          <w:p w14:paraId="181FC8A1" w14:textId="68BDECF3" w:rsidR="00BE44F9" w:rsidRDefault="00BE44F9" w:rsidP="00BE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F9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свойствами и особенностями бумаги.</w:t>
            </w:r>
          </w:p>
          <w:p w14:paraId="3BA5A89B" w14:textId="77777777" w:rsidR="00F761F6" w:rsidRPr="00F761F6" w:rsidRDefault="00F761F6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F6">
              <w:rPr>
                <w:rFonts w:ascii="Times New Roman" w:hAnsi="Times New Roman" w:cs="Times New Roman"/>
                <w:sz w:val="24"/>
                <w:szCs w:val="24"/>
              </w:rPr>
              <w:t>Активное участие каждого ребенка в выполнении поделки.</w:t>
            </w:r>
          </w:p>
          <w:p w14:paraId="59380390" w14:textId="5D4203B8" w:rsidR="00F761F6" w:rsidRDefault="00F761F6" w:rsidP="00F7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F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заботы о природе через бережное отношение к бумажным поделкам.</w:t>
            </w:r>
          </w:p>
          <w:p w14:paraId="405742C9" w14:textId="59CC9292" w:rsidR="006D2D48" w:rsidRDefault="00C36046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046">
              <w:rPr>
                <w:rFonts w:ascii="Times New Roman" w:hAnsi="Times New Roman" w:cs="Times New Roman"/>
                <w:sz w:val="24"/>
                <w:szCs w:val="24"/>
              </w:rPr>
              <w:t>знать насколько искусство оригами полезно для развития человека, изучить разновидности оригами и освоить их технику.</w:t>
            </w:r>
          </w:p>
          <w:p w14:paraId="5B573F6F" w14:textId="77777777" w:rsidR="00C36046" w:rsidRDefault="00C36046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C36046"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усидчивость, аккуратность,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C3604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 творческие способности.</w:t>
            </w:r>
          </w:p>
          <w:p w14:paraId="4787C921" w14:textId="2E801337" w:rsidR="00A811CE" w:rsidRPr="00E66144" w:rsidRDefault="00C36046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модульное оригами.</w:t>
            </w:r>
          </w:p>
        </w:tc>
      </w:tr>
      <w:tr w:rsidR="00A123C9" w:rsidRPr="00E66144" w14:paraId="3C0A3E4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 проекта</w:t>
            </w:r>
          </w:p>
        </w:tc>
        <w:tc>
          <w:tcPr>
            <w:tcW w:w="7070" w:type="dxa"/>
            <w:gridSpan w:val="4"/>
          </w:tcPr>
          <w:p w14:paraId="03C1C75F" w14:textId="64489DE2" w:rsidR="00A123C9" w:rsidRPr="00E66144" w:rsidRDefault="008A4A89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предметно-развивающую среду. Игра для формирования физиологического дыхания « Аквариум»</w:t>
            </w:r>
          </w:p>
        </w:tc>
      </w:tr>
      <w:tr w:rsidR="00A123C9" w:rsidRPr="00E66144" w14:paraId="0C1AD38B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70" w:type="dxa"/>
            <w:gridSpan w:val="4"/>
          </w:tcPr>
          <w:p w14:paraId="6268E935" w14:textId="44ADB766" w:rsidR="00A123C9" w:rsidRDefault="009E190E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0E">
              <w:rPr>
                <w:rFonts w:ascii="Times New Roman" w:hAnsi="Times New Roman" w:cs="Times New Roman"/>
                <w:sz w:val="24"/>
                <w:szCs w:val="24"/>
              </w:rPr>
              <w:t>Работа в технике оригами является средством развития эстетического вкуса, разума, творческих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00939" w14:textId="77777777" w:rsidR="009E190E" w:rsidRDefault="009E190E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190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9E190E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и пространственное мышление, стимулировать творческую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5E815" w14:textId="77777777" w:rsidR="009E190E" w:rsidRDefault="009E190E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координации движения пальцев рук.</w:t>
            </w:r>
          </w:p>
          <w:p w14:paraId="6F46D9B4" w14:textId="589A6985" w:rsidR="00C36046" w:rsidRPr="00E66144" w:rsidRDefault="00C36046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ребенка, совместной деятельности, с одновременным развитием качеств-самостоятельности, саморазвития.</w:t>
            </w:r>
          </w:p>
        </w:tc>
      </w:tr>
      <w:tr w:rsidR="00A123C9" w:rsidRPr="00E66144" w14:paraId="6319F759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33551BD8" w14:textId="77777777" w:rsidR="00A123C9" w:rsidRPr="00E66144" w:rsidRDefault="00A123C9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C9" w:rsidRPr="00E66144" w14:paraId="7711DD98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7035CF5" w14:textId="341CDE6B" w:rsidR="00A123C9" w:rsidRPr="00E66144" w:rsidRDefault="00A123C9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C9" w:rsidRPr="00E66144" w14:paraId="163AFD31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070" w:type="dxa"/>
            <w:gridSpan w:val="4"/>
          </w:tcPr>
          <w:p w14:paraId="7C063C0F" w14:textId="1FDA6BC3" w:rsidR="00A123C9" w:rsidRPr="00E66144" w:rsidRDefault="009C6BEB" w:rsidP="004B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</w:tr>
      <w:tr w:rsidR="00A123C9" w:rsidRPr="00E66144" w14:paraId="2D209784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40C0B77" w14:textId="5FDB23C1" w:rsidR="00A123C9" w:rsidRPr="00E66144" w:rsidRDefault="009C6BEB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  <w:tr w:rsidR="00A123C9" w:rsidRPr="00E66144" w14:paraId="4E2E6F66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2FEA64EC" w14:textId="5FD2DA58" w:rsidR="00A123C9" w:rsidRDefault="00724344" w:rsidP="00B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A123C9" w:rsidRPr="00E66144" w14:paraId="3653C21F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80BB31C" w14:textId="316E67CA" w:rsidR="00A123C9" w:rsidRDefault="00724344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и ее актуальность</w:t>
            </w:r>
            <w:r w:rsidR="00742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35CE1" w14:textId="77777777" w:rsidR="00724344" w:rsidRDefault="00724344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предметно-пространственной среды.</w:t>
            </w:r>
          </w:p>
          <w:p w14:paraId="3BB88A00" w14:textId="705BDBC3" w:rsidR="00724344" w:rsidRDefault="00724344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проекту.</w:t>
            </w:r>
          </w:p>
          <w:p w14:paraId="47F5081E" w14:textId="020E60FD" w:rsidR="00724344" w:rsidRDefault="00724344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проекта.</w:t>
            </w:r>
          </w:p>
          <w:p w14:paraId="7CAB736B" w14:textId="20B9A79C" w:rsidR="00724344" w:rsidRDefault="00724344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информации и материалов по теме проекта.</w:t>
            </w:r>
          </w:p>
          <w:p w14:paraId="0D5FC957" w14:textId="4B147A12" w:rsidR="00724344" w:rsidRDefault="00724344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наглядного материала.</w:t>
            </w:r>
          </w:p>
          <w:p w14:paraId="6B9BEAE4" w14:textId="73908BF1" w:rsidR="00724344" w:rsidRDefault="00724344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42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E4389" w14:textId="18B19981" w:rsidR="00724344" w:rsidRDefault="00724344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</w:t>
            </w:r>
            <w:r w:rsidR="00F761F6">
              <w:rPr>
                <w:rFonts w:ascii="Times New Roman" w:hAnsi="Times New Roman" w:cs="Times New Roman"/>
                <w:sz w:val="24"/>
                <w:szCs w:val="24"/>
              </w:rPr>
              <w:t>й поделки.</w:t>
            </w:r>
          </w:p>
          <w:p w14:paraId="00AADFAE" w14:textId="38C17B35" w:rsidR="00724344" w:rsidRPr="00724344" w:rsidRDefault="00F761F6" w:rsidP="0072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среды.</w:t>
            </w:r>
          </w:p>
        </w:tc>
      </w:tr>
      <w:tr w:rsidR="00A123C9" w:rsidRPr="00E66144" w14:paraId="2BD94A2A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79476B2A" w14:textId="237FB8A9" w:rsidR="00F761F6" w:rsidRDefault="00F761F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  <w:p w14:paraId="657099AD" w14:textId="68EE3BE2" w:rsidR="00A123C9" w:rsidRDefault="00007EE2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1F6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личного опыта внедрения технологии проектов и педагогическую практику. </w:t>
            </w:r>
          </w:p>
          <w:p w14:paraId="60C7BB3C" w14:textId="77777777" w:rsidR="00F761F6" w:rsidRDefault="00F761F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  <w:p w14:paraId="6F63026A" w14:textId="77777777" w:rsidR="00F761F6" w:rsidRDefault="00F761F6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активно взаимодействует со сверстниками и взрослыми участвуя в создании</w:t>
            </w:r>
            <w:r w:rsidR="00723E2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среды.</w:t>
            </w:r>
          </w:p>
          <w:p w14:paraId="59FBCC4B" w14:textId="301FF269" w:rsidR="00742FDF" w:rsidRPr="00E66144" w:rsidRDefault="00742FDF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владеет разными формами и видами творческо-технической игры.</w:t>
            </w:r>
          </w:p>
        </w:tc>
      </w:tr>
      <w:tr w:rsidR="00A123C9" w:rsidRPr="00E66144" w14:paraId="47A79E6B" w14:textId="77777777" w:rsidTr="004B6349">
        <w:tc>
          <w:tcPr>
            <w:tcW w:w="558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06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A123C9" w:rsidRPr="00E66144" w14:paraId="6C570E8F" w14:textId="77777777" w:rsidTr="004B6349">
        <w:trPr>
          <w:trHeight w:val="741"/>
        </w:trPr>
        <w:tc>
          <w:tcPr>
            <w:tcW w:w="558" w:type="dxa"/>
          </w:tcPr>
          <w:p w14:paraId="04753F33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21063037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69" w:type="dxa"/>
          </w:tcPr>
          <w:p w14:paraId="71070849" w14:textId="6B25376F" w:rsidR="008D3836" w:rsidRDefault="008D3836" w:rsidP="0005548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темы.</w:t>
            </w:r>
          </w:p>
          <w:p w14:paraId="0DCC9656" w14:textId="4EBF960F" w:rsidR="008D3836" w:rsidRDefault="008D3836" w:rsidP="0005548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задачи проекта</w:t>
            </w:r>
          </w:p>
          <w:p w14:paraId="0BF24170" w14:textId="77777777" w:rsidR="00A123C9" w:rsidRDefault="00007EE2" w:rsidP="0005548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723E2E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 и анализ предметно-пространственной среды.</w:t>
            </w:r>
          </w:p>
          <w:p w14:paraId="2C4B0D6C" w14:textId="560FEDF8" w:rsidR="00D32E9A" w:rsidRPr="00E66144" w:rsidRDefault="00D32E9A" w:rsidP="0005548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пальчиковая гимнастика, физкультминутка.</w:t>
            </w:r>
          </w:p>
        </w:tc>
        <w:tc>
          <w:tcPr>
            <w:tcW w:w="1624" w:type="dxa"/>
          </w:tcPr>
          <w:p w14:paraId="564EBC61" w14:textId="68315C90" w:rsidR="00B72C13" w:rsidRPr="00E66144" w:rsidRDefault="00B72C13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C331B2C" w14:textId="54A37B43" w:rsidR="00A123C9" w:rsidRDefault="008D3836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  <w:r w:rsidR="00065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DAE68" w14:textId="501ADBC8" w:rsidR="008D3836" w:rsidRPr="00E66144" w:rsidRDefault="008D3836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D38851A" w14:textId="67F92134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9" w:rsidRPr="00E66144" w14:paraId="037FEE63" w14:textId="77777777" w:rsidTr="004B6349">
        <w:trPr>
          <w:trHeight w:val="741"/>
        </w:trPr>
        <w:tc>
          <w:tcPr>
            <w:tcW w:w="558" w:type="dxa"/>
          </w:tcPr>
          <w:p w14:paraId="62D6752A" w14:textId="77777777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5859B7C7" w14:textId="77777777" w:rsidR="004B6349" w:rsidRPr="00E66144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69" w:type="dxa"/>
          </w:tcPr>
          <w:p w14:paraId="3D97F893" w14:textId="0B559B68" w:rsidR="004B6349" w:rsidRDefault="00007EE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занятия с использованием конструирования</w:t>
            </w:r>
            <w:r w:rsidR="00742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55F93B" w14:textId="77777777" w:rsidR="00007EE2" w:rsidRDefault="00007EE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поделок выполненных в технике оригами.</w:t>
            </w:r>
          </w:p>
          <w:p w14:paraId="766909B2" w14:textId="6E37AC2F" w:rsidR="00007EE2" w:rsidRPr="00E66144" w:rsidRDefault="00007EE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</w:t>
            </w:r>
            <w:r w:rsidR="00742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14:paraId="173F8332" w14:textId="1139B999" w:rsidR="004B6349" w:rsidRPr="00E66144" w:rsidRDefault="00D32E9A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Изготовили</w:t>
            </w:r>
            <w:r w:rsidR="00007EE2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детали для будущей игры.</w:t>
            </w:r>
          </w:p>
        </w:tc>
        <w:tc>
          <w:tcPr>
            <w:tcW w:w="1871" w:type="dxa"/>
          </w:tcPr>
          <w:p w14:paraId="7A98C411" w14:textId="17C43785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1A6B523" w14:textId="215367DC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9" w:rsidRPr="00E66144" w14:paraId="1F95A0AE" w14:textId="77777777" w:rsidTr="004B6349">
        <w:trPr>
          <w:trHeight w:val="741"/>
        </w:trPr>
        <w:tc>
          <w:tcPr>
            <w:tcW w:w="558" w:type="dxa"/>
          </w:tcPr>
          <w:p w14:paraId="5DE90A4E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14:paraId="503D30F8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69" w:type="dxa"/>
          </w:tcPr>
          <w:p w14:paraId="568C83BE" w14:textId="177137C3" w:rsidR="004B6349" w:rsidRPr="00E66144" w:rsidRDefault="00007EE2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по педагогической эффективности проекта. Создание </w:t>
            </w:r>
            <w:r w:rsidR="00742FDF">
              <w:rPr>
                <w:rFonts w:ascii="Times New Roman" w:hAnsi="Times New Roman" w:cs="Times New Roman"/>
                <w:sz w:val="24"/>
                <w:szCs w:val="24"/>
              </w:rPr>
              <w:t xml:space="preserve">игры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 среды.</w:t>
            </w:r>
          </w:p>
        </w:tc>
        <w:tc>
          <w:tcPr>
            <w:tcW w:w="1624" w:type="dxa"/>
          </w:tcPr>
          <w:p w14:paraId="67A6EE35" w14:textId="7F896084" w:rsidR="004B6349" w:rsidRPr="00E66144" w:rsidRDefault="00742FD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 Готовая игра развивающая физиологическое дыхание. «Аквариум».</w:t>
            </w:r>
          </w:p>
        </w:tc>
        <w:tc>
          <w:tcPr>
            <w:tcW w:w="1871" w:type="dxa"/>
          </w:tcPr>
          <w:p w14:paraId="0A0D4D76" w14:textId="5D0044A2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B61520D" w14:textId="5D929F90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9" w:rsidRPr="00E66144" w14:paraId="5F01EB2D" w14:textId="77777777" w:rsidTr="004B6349">
        <w:tc>
          <w:tcPr>
            <w:tcW w:w="9804" w:type="dxa"/>
            <w:gridSpan w:val="6"/>
          </w:tcPr>
          <w:p w14:paraId="0C93599B" w14:textId="77777777" w:rsidR="004B6349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69958736" w14:textId="77777777" w:rsidR="002E4F41" w:rsidRPr="00CB49FC" w:rsidRDefault="002E4F41" w:rsidP="002E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F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развития детей соответственно с "Образовательные стандарты. Дошкольное образование» и учебной программой дошкольного образования:</w:t>
            </w:r>
          </w:p>
          <w:p w14:paraId="28710A8B" w14:textId="62800E1F" w:rsidR="002E4F41" w:rsidRPr="00CB49FC" w:rsidRDefault="002E4F41" w:rsidP="002E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 уровня сформированности представлений об объектах ближайшего окружения на основе чувственного восприятия;</w:t>
            </w:r>
          </w:p>
          <w:p w14:paraId="3EFABBBB" w14:textId="77777777" w:rsidR="002E4F41" w:rsidRPr="00CB49FC" w:rsidRDefault="002E4F41" w:rsidP="002E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FC">
              <w:rPr>
                <w:rFonts w:ascii="Times New Roman" w:hAnsi="Times New Roman" w:cs="Times New Roman"/>
                <w:sz w:val="24"/>
                <w:szCs w:val="24"/>
              </w:rPr>
              <w:t>-повышение уровня сформированности умений по использованию различных изобразительных техник и материалов, создания самостоятельных художественных образов и опыта восприятия художественных образов различных видов и жанров изобразительного искусства, формирования эстетического отношения к миру;</w:t>
            </w:r>
          </w:p>
          <w:p w14:paraId="4A41F286" w14:textId="7F873F4A" w:rsidR="006657D8" w:rsidRPr="007E6A6C" w:rsidRDefault="002E4F41" w:rsidP="00CB4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FC">
              <w:rPr>
                <w:rFonts w:ascii="Times New Roman" w:hAnsi="Times New Roman" w:cs="Times New Roman"/>
                <w:sz w:val="24"/>
                <w:szCs w:val="24"/>
              </w:rPr>
              <w:t>-повышение уровня сформированности представлений о целостной картине мира, коммуникативных навыков и умения свободно делиться впечатлениями, возможность реализовать творческие способности.</w:t>
            </w:r>
          </w:p>
        </w:tc>
      </w:tr>
      <w:tr w:rsidR="004B6349" w:rsidRPr="00E66144" w14:paraId="07F027D7" w14:textId="77777777" w:rsidTr="004B6349">
        <w:tc>
          <w:tcPr>
            <w:tcW w:w="2734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1</w:t>
            </w:r>
          </w:p>
          <w:p w14:paraId="31D9BD13" w14:textId="1C452BB6" w:rsidR="004B6349" w:rsidRDefault="004B6349" w:rsidP="000A18D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2C851129" w14:textId="2A46A128" w:rsidR="00B72C13" w:rsidRPr="001C3988" w:rsidRDefault="00D32E9A" w:rsidP="001C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технике оригами</w:t>
            </w:r>
            <w:r w:rsidR="004F3922">
              <w:rPr>
                <w:rFonts w:ascii="Times New Roman" w:hAnsi="Times New Roman" w:cs="Times New Roman"/>
                <w:sz w:val="24"/>
                <w:szCs w:val="24"/>
              </w:rPr>
              <w:t xml:space="preserve"> в ходе мероприятия. Дети испытывали положительные эмоции при создании поделки. Дети с большим удовольствием играли в игру созданную ими. </w:t>
            </w:r>
          </w:p>
        </w:tc>
      </w:tr>
      <w:tr w:rsidR="004B6349" w:rsidRPr="00E66144" w14:paraId="57D4EAEA" w14:textId="77777777" w:rsidTr="00FB72F7">
        <w:trPr>
          <w:trHeight w:val="1204"/>
        </w:trPr>
        <w:tc>
          <w:tcPr>
            <w:tcW w:w="2734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393FB1F7" w14:textId="5B03232D" w:rsidR="00B72C13" w:rsidRDefault="004F3922" w:rsidP="004F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создании развивающей среды.</w:t>
            </w:r>
          </w:p>
          <w:p w14:paraId="59D4E7FE" w14:textId="576D848F" w:rsidR="00C633AA" w:rsidRPr="004F3922" w:rsidRDefault="00C633AA" w:rsidP="0058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F7" w:rsidRPr="00E66144" w14:paraId="00135F0F" w14:textId="77777777" w:rsidTr="00FB72F7">
        <w:trPr>
          <w:trHeight w:val="1204"/>
        </w:trPr>
        <w:tc>
          <w:tcPr>
            <w:tcW w:w="2734" w:type="dxa"/>
            <w:gridSpan w:val="2"/>
          </w:tcPr>
          <w:p w14:paraId="6BF58A5F" w14:textId="164D7466" w:rsidR="00FB72F7" w:rsidRDefault="00FB72F7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3</w:t>
            </w:r>
          </w:p>
        </w:tc>
        <w:tc>
          <w:tcPr>
            <w:tcW w:w="7070" w:type="dxa"/>
            <w:gridSpan w:val="4"/>
          </w:tcPr>
          <w:p w14:paraId="71CB35B1" w14:textId="77777777" w:rsidR="00FB72F7" w:rsidRDefault="00FB72F7" w:rsidP="004F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познакомились с искусством оригами.</w:t>
            </w:r>
          </w:p>
          <w:p w14:paraId="45CA61B6" w14:textId="25FB1827" w:rsidR="00FB72F7" w:rsidRDefault="00FB72F7" w:rsidP="004F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в создании поделки.</w:t>
            </w:r>
          </w:p>
        </w:tc>
      </w:tr>
      <w:tr w:rsidR="00FB72F7" w:rsidRPr="00E66144" w14:paraId="77E26BCE" w14:textId="77777777" w:rsidTr="00FB72F7">
        <w:trPr>
          <w:trHeight w:val="1204"/>
        </w:trPr>
        <w:tc>
          <w:tcPr>
            <w:tcW w:w="2734" w:type="dxa"/>
            <w:gridSpan w:val="2"/>
          </w:tcPr>
          <w:p w14:paraId="6D7547B7" w14:textId="07BEED41" w:rsidR="00FB72F7" w:rsidRDefault="00B04DD6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4</w:t>
            </w:r>
          </w:p>
        </w:tc>
        <w:tc>
          <w:tcPr>
            <w:tcW w:w="7070" w:type="dxa"/>
            <w:gridSpan w:val="4"/>
          </w:tcPr>
          <w:p w14:paraId="25CCCFC9" w14:textId="5874DF02" w:rsidR="00FB72F7" w:rsidRDefault="00B04DD6" w:rsidP="004F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получили позитивные эмоции от проделанной работы</w:t>
            </w:r>
            <w:r w:rsidR="004D3130">
              <w:rPr>
                <w:rFonts w:ascii="Times New Roman" w:hAnsi="Times New Roman" w:cs="Times New Roman"/>
                <w:sz w:val="24"/>
                <w:szCs w:val="24"/>
              </w:rPr>
              <w:t xml:space="preserve"> и от полученного результата.</w:t>
            </w:r>
            <w:bookmarkStart w:id="0" w:name="_GoBack"/>
            <w:bookmarkEnd w:id="0"/>
          </w:p>
          <w:p w14:paraId="474D3476" w14:textId="42A096FA" w:rsidR="00B04DD6" w:rsidRDefault="00B04DD6" w:rsidP="004F3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205703" w:rsidRDefault="004D63BA"/>
    <w:sectPr w:rsidR="00205703" w:rsidSect="00096F29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49E0E" w14:textId="77777777" w:rsidR="00D34B97" w:rsidRDefault="00D34B97">
      <w:pPr>
        <w:spacing w:after="0" w:line="240" w:lineRule="auto"/>
      </w:pPr>
      <w:r>
        <w:separator/>
      </w:r>
    </w:p>
  </w:endnote>
  <w:endnote w:type="continuationSeparator" w:id="0">
    <w:p w14:paraId="0390927D" w14:textId="77777777" w:rsidR="00D34B97" w:rsidRDefault="00D3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FC2DF" w14:textId="77777777" w:rsidR="00D34B97" w:rsidRDefault="00D34B97">
      <w:pPr>
        <w:spacing w:after="0" w:line="240" w:lineRule="auto"/>
      </w:pPr>
      <w:r>
        <w:separator/>
      </w:r>
    </w:p>
  </w:footnote>
  <w:footnote w:type="continuationSeparator" w:id="0">
    <w:p w14:paraId="4D40DADD" w14:textId="77777777" w:rsidR="00D34B97" w:rsidRDefault="00D3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2B119596" w:rsidR="005746DC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9FC">
          <w:rPr>
            <w:noProof/>
          </w:rPr>
          <w:t>4</w:t>
        </w:r>
        <w:r>
          <w:fldChar w:fldCharType="end"/>
        </w:r>
      </w:p>
    </w:sdtContent>
  </w:sdt>
  <w:p w14:paraId="5CEF3486" w14:textId="77777777" w:rsidR="005746DC" w:rsidRDefault="004D63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6D"/>
    <w:rsid w:val="00007EE2"/>
    <w:rsid w:val="00065FB5"/>
    <w:rsid w:val="000A18DF"/>
    <w:rsid w:val="000B0A07"/>
    <w:rsid w:val="000D2CA5"/>
    <w:rsid w:val="001010B3"/>
    <w:rsid w:val="0016119D"/>
    <w:rsid w:val="00193E0B"/>
    <w:rsid w:val="001C3988"/>
    <w:rsid w:val="001C797C"/>
    <w:rsid w:val="00244927"/>
    <w:rsid w:val="0026632A"/>
    <w:rsid w:val="002E4F41"/>
    <w:rsid w:val="003507B3"/>
    <w:rsid w:val="00377144"/>
    <w:rsid w:val="003A7F4A"/>
    <w:rsid w:val="004B6349"/>
    <w:rsid w:val="004D3130"/>
    <w:rsid w:val="004F3922"/>
    <w:rsid w:val="00523440"/>
    <w:rsid w:val="005819F9"/>
    <w:rsid w:val="005976EB"/>
    <w:rsid w:val="005A1BD9"/>
    <w:rsid w:val="006657D8"/>
    <w:rsid w:val="006D2D48"/>
    <w:rsid w:val="006E0A39"/>
    <w:rsid w:val="006F6124"/>
    <w:rsid w:val="00723E2E"/>
    <w:rsid w:val="00724344"/>
    <w:rsid w:val="00742FDF"/>
    <w:rsid w:val="007C6012"/>
    <w:rsid w:val="007E6A6C"/>
    <w:rsid w:val="008A4A89"/>
    <w:rsid w:val="008C3CEA"/>
    <w:rsid w:val="008D3836"/>
    <w:rsid w:val="00980568"/>
    <w:rsid w:val="009B6D6E"/>
    <w:rsid w:val="009C6BEB"/>
    <w:rsid w:val="009E190E"/>
    <w:rsid w:val="00A123C9"/>
    <w:rsid w:val="00A44D25"/>
    <w:rsid w:val="00A65306"/>
    <w:rsid w:val="00A811CE"/>
    <w:rsid w:val="00A9514B"/>
    <w:rsid w:val="00B04DD6"/>
    <w:rsid w:val="00B72C13"/>
    <w:rsid w:val="00BE44F9"/>
    <w:rsid w:val="00C36046"/>
    <w:rsid w:val="00C633AA"/>
    <w:rsid w:val="00CB49FC"/>
    <w:rsid w:val="00CF0209"/>
    <w:rsid w:val="00D32E9A"/>
    <w:rsid w:val="00D34B97"/>
    <w:rsid w:val="00E37E6D"/>
    <w:rsid w:val="00E57CD9"/>
    <w:rsid w:val="00E94494"/>
    <w:rsid w:val="00F761F6"/>
    <w:rsid w:val="00F904E8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7F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4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pdo.ru/soderzhatelnyj-razdel-rechevoe-razv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dcterms:created xsi:type="dcterms:W3CDTF">2023-12-28T17:52:00Z</dcterms:created>
  <dcterms:modified xsi:type="dcterms:W3CDTF">2024-01-16T08:55:00Z</dcterms:modified>
</cp:coreProperties>
</file>