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Описание проекта </w:t>
      </w:r>
    </w:p>
    <w:tbl>
      <w:tblPr>
        <w:tblW w:w="0" w:type="auto"/>
        <w:tblInd w:w="108" w:type="dxa"/>
        <w:tblLook w:val="0000" w:firstRow="0" w:lastRow="0" w:firstColumn="0" w:lastColumn="0" w:noHBand="0" w:noVBand="0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2"/>
        <w:gridCol w:w="2069"/>
        <w:gridCol w:w="2220"/>
        <w:gridCol w:w="1955"/>
        <w:gridCol w:w="1780"/>
        <w:gridCol w:w="967"/>
      </w:tblGrid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автора, ОУ 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Бабаян Женя</w:t>
            </w:r>
            <w:r>
              <w:rPr>
                <w:rFonts w:ascii="Calibri" w:eastAsia="Calibri" w:hAnsi="Calibri" w:cs="Calibri"/>
                <w:rtl w:val="off"/>
              </w:rPr>
              <w:t xml:space="preserve"> Арменовна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День российской науки</w:t>
            </w:r>
          </w:p>
        </w:tc>
      </w:tr>
      <w:t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проекта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Групповой, долгосрочный,  поисково-исследовательский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Новое поколение нуждается в новых знаниях и подходе к обучению. Интернет сделал информацию доступной и повысил скорость её распространения. Чтобы принимать верные решения в жизни и не попадаться на уловки мошенников, нам постоянно приходится разбираться, где миф, а где правда. Лучше, учиться этому с детства. Важно формировать критическое мышление: нужно учить детей сомневаться и искать доказательства. Популяризация науки позволяет это сделать.Исследовательская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«как?» и «почему?».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детей думать, пробовать, экспериментировать, а самое главное самовыражаться.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 проекта </w:t>
            </w:r>
          </w:p>
          <w:p>
            <w:pPr>
              <w:jc w:val="center"/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Внедрение детского эксперементирования  как средства развития познавательной активности детей.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Продукт проекта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Районная игра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Развитие связной речи детей, побуждать их к рассуждению, аргументированности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развивать интерес к экспериментальной деятельности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Развивать наблюдательность, учить находить причинно-следственные связи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Этапы  реализации проекта 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Подготовительный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Основной</w:t>
            </w:r>
          </w:p>
        </w:tc>
      </w:tr>
      <w:tr>
        <w:tc>
          <w:tcPr>
            <w:tcW w:w="27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Заключительный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и показатели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эффективности проекта </w:t>
            </w:r>
          </w:p>
          <w:p>
            <w:pPr>
              <w:jc w:val="center"/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720" w:hanging="360"/>
              <w:numPr>
                <w:ilvl w:val="0"/>
                <w:numId w:val="1"/>
              </w:numPr>
              <w:spacing w:after="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Критерий : Участие родителей в реализации проекта (при планировании, закреплении материала, в оформлении районной игры, организации досугов, в пополнении Уголка "Хочу всё знать" и т.д.).</w:t>
            </w:r>
          </w:p>
          <w:p>
            <w:pPr>
              <w:ind w:left="720" w:hanging="360"/>
              <w:numPr>
                <w:ilvl w:val="0"/>
                <w:numId w:val="1"/>
              </w:numPr>
              <w:spacing w:after="0" w:line="36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Критерий: Удовлетворенность  участников проекта результатами.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Ожидаемые социальные эффекты проекта </w:t>
            </w:r>
          </w:p>
          <w:p>
            <w:pPr>
              <w:jc w:val="center"/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Вовлечение родителей в совместную деятельность в детском саду, в совместную работу по реализации проекта.</w:t>
            </w:r>
          </w:p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Сформированные понятия у детей "наука", "ученый", представления о существовании разных наук и научных обществ. </w:t>
            </w:r>
          </w:p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индивидуально, в парах, в подгруппах, в коллективе.</w:t>
            </w:r>
          </w:p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Организация районной игры "День российской науки".</w:t>
            </w:r>
          </w:p>
        </w:tc>
      </w:tr>
      <w:tr>
        <w:trPr>
          <w:trHeight w:val="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 работы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этапа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Полученный результат этапа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Исполнители, ответственный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(даты)</w:t>
            </w:r>
          </w:p>
        </w:tc>
      </w:tr>
      <w:t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Изучить и проанализировать методическую литературу по теме</w:t>
            </w:r>
          </w:p>
          <w:p>
            <w:pPr>
              <w:spacing w:after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Составление планирования опытно-экспериментальной деятельности</w:t>
            </w:r>
          </w:p>
          <w:p>
            <w:pPr>
              <w:spacing w:after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Подбор основного оборудования и материала для оснащения центра экспериментальной деятельности.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Стимулирование в детях интереса к поисково-исследовательской деятельности, обогащение представление детей о свойствах неживой природы: воздухе, песке, воде; развитие наблюдательности, любознательности; мыслительных процессов: логического мышления, восприятия, произвольного внимания, памяти, мелкой моторики; обогащение словаря. Подбор речевого материала (загадок, стихов, физ.минуток, пальчиковых игр)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группы, дети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 2023 года</w:t>
            </w:r>
          </w:p>
        </w:tc>
      </w:tr>
      <w:t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Практический</w:t>
            </w:r>
          </w:p>
          <w:p>
            <w:pPr>
              <w:jc w:val="center"/>
              <w:tabs>
                <w:tab w:val="left" w:pos="8175"/>
              </w:tabs>
            </w:pPr>
            <w:r>
              <w:rPr>
                <w:rtl w:val="off"/>
              </w:rPr>
              <w:t>(основной этап)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Внедрение в воспитательно – образовательный процесс опытно-экспериментальной деятельности. 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Создание в группе центра «Хочу все знать», экспериментирование с разными материалами, создание мнемотаблиц и альбома  по разным материалам. Прогулка выходного дня – посещение с родителями интерактивного музея «Лабиринтум».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Знакомство на данном этапе с экспериментами, разными материалами, ежедневная работа по вовлечению детей в поисково-исследовательскую деятельность, чтобы каждый ребенок смог попробовать себя в качестве исследователя. Организация совместной деятельности в парах, тройках, подгруппах. Оформление выставки книг о науке и технике, знакомство детей с литературой. Создание совместно с родителями своего изобретения из любого материала по желанию.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Консультация для родителей «Нужна ли детям наука?»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Воспитатели, родители, дети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 2023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результатов</w:t>
            </w:r>
          </w:p>
          <w:p>
            <w:pPr>
              <w:jc w:val="center"/>
              <w:tabs>
                <w:tab w:val="left" w:pos="8175"/>
              </w:tabs>
            </w:pPr>
            <w:r>
              <w:rPr>
                <w:rtl w:val="off"/>
              </w:rPr>
              <w:t>(заключительный этап)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Подвести итоги работы с детьми и родителями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Определить эффективность проведенной работы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Провести анализ полученных результатов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Провести районную игру «Хочу все знать»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проведённых опытов, создание выставки результатов работ. 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Подведение итогов работы с родителями, беседы о эмоциональном отклике детей и родителей. </w:t>
            </w:r>
          </w:p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Проведение районной игры, подведение итогов.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Воспитатели, дети, родители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Январь 2024</w:t>
            </w:r>
          </w:p>
        </w:tc>
      </w:tr>
      <w:tr>
        <w:trPr>
          <w:trHeight w:val="1" w:hRule="atLeast"/>
        </w:trPr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 1</w:t>
            </w:r>
          </w:p>
          <w:p/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  <w:rtl w:val="off"/>
              </w:rPr>
              <w:drawing>
                <wp:inline distT="0" distB="0" distL="0" distR="0">
                  <wp:extent cx="3959860" cy="3239770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860" cy="32397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 2</w:t>
            </w:r>
          </w:p>
          <w:p>
            <w:pPr>
              <w:jc w:val="center"/>
            </w:pP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720"/>
            </w:pPr>
            <w:r>
              <w:drawing>
                <wp:inline distT="0" distB="0" distL="0" distR="0">
                  <wp:extent cx="3827740" cy="3239770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740" cy="32397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>
      <w:pPr>
        <w:rPr>
          <w:rFonts w:ascii="Calibri" w:eastAsia="Calibri" w:hAnsi="Calibri" w:cs="Calibri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200247B" w:usb2="00000009" w:usb3="00000001" w:csb0="200001FF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a3549cf"/>
    <w:multiLevelType w:val="multilevel"/>
    <w:tmpl w:val="8f90f8d0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4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Krokoz™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ITEL</cp:lastModifiedBy>
  <cp:revision>1</cp:revision>
  <dcterms:created xsi:type="dcterms:W3CDTF">2011-08-31T22:01:00Z</dcterms:created>
  <dcterms:modified xsi:type="dcterms:W3CDTF">2024-01-22T19:24:04Z</dcterms:modified>
  <cp:version>0900.0100.01</cp:version>
</cp:coreProperties>
</file>